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Сроки и условия оказания услуги:</w:t>
      </w:r>
      <w:r w:rsidRPr="00C90A07">
        <w:t xml:space="preserve"> ______________________</w:t>
      </w:r>
    </w:p>
    <w:p w:rsidR="00313DC0" w:rsidRPr="00C90A07" w:rsidRDefault="00313DC0" w:rsidP="00313DC0">
      <w:pPr>
        <w:numPr>
          <w:ilvl w:val="0"/>
          <w:numId w:val="1"/>
        </w:numPr>
        <w:jc w:val="both"/>
      </w:pPr>
      <w:r w:rsidRPr="00C90A07">
        <w:rPr>
          <w:b/>
          <w:bCs/>
        </w:rPr>
        <w:t>Стоимость услуг/поставка товара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услуг/поставки товара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13DC0" w:rsidRPr="004A7484" w:rsidRDefault="00313DC0"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313DC0" w:rsidRPr="004A7484" w:rsidRDefault="00313DC0" w:rsidP="00313DC0">
      <w:pPr>
        <w:ind w:firstLine="720"/>
        <w:rPr>
          <w:b/>
          <w:bCs/>
          <w:sz w:val="22"/>
          <w:szCs w:val="22"/>
        </w:rPr>
      </w:pPr>
      <w:r w:rsidRPr="004A7484">
        <w:rPr>
          <w:b/>
          <w:bCs/>
          <w:sz w:val="22"/>
          <w:szCs w:val="22"/>
        </w:rPr>
        <w:t>8.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0BD6" w:rsidRPr="004A7484"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lastRenderedPageBreak/>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r>
      <w:r w:rsidRPr="004A7484">
        <w:rPr>
          <w:sz w:val="22"/>
          <w:szCs w:val="22"/>
        </w:rPr>
        <w:lastRenderedPageBreak/>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A5" w:rsidRDefault="004B58A5">
      <w:r>
        <w:separator/>
      </w:r>
    </w:p>
  </w:endnote>
  <w:endnote w:type="continuationSeparator" w:id="0">
    <w:p w:rsidR="004B58A5" w:rsidRDefault="004B5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C676D5">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C676D5">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420BD6">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A5" w:rsidRDefault="004B58A5">
      <w:r>
        <w:separator/>
      </w:r>
    </w:p>
  </w:footnote>
  <w:footnote w:type="continuationSeparator" w:id="0">
    <w:p w:rsidR="004B58A5" w:rsidRDefault="004B5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68C26C-2AAD-4C0B-B795-8DD60AEE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1756</Words>
  <Characters>10013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11746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6</cp:revision>
  <cp:lastPrinted>2021-02-04T12:32:00Z</cp:lastPrinted>
  <dcterms:created xsi:type="dcterms:W3CDTF">2021-03-17T10:48:00Z</dcterms:created>
  <dcterms:modified xsi:type="dcterms:W3CDTF">2021-04-16T10:58:00Z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